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74" w:rsidRPr="003E39BE" w:rsidRDefault="000A2774" w:rsidP="000A2774">
      <w:pPr>
        <w:spacing w:before="100" w:beforeAutospacing="1" w:after="100" w:afterAutospacing="1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48"/>
          <w:szCs w:val="48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36"/>
          <w:sz w:val="48"/>
          <w:szCs w:val="48"/>
          <w:lang w:eastAsia="fr-FR"/>
        </w:rPr>
        <w:t>RÈGLEMENT INTÉRIEUR – ÉCURIE DU PETIT BONHEUR</w:t>
      </w:r>
    </w:p>
    <w:p w:rsidR="000A2774" w:rsidRPr="00360876" w:rsidRDefault="000A2774" w:rsidP="00360876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833C0B" w:themeColor="accent2" w:themeShade="8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i/>
          <w:iCs/>
          <w:color w:val="833C0B" w:themeColor="accent2" w:themeShade="80"/>
          <w:kern w:val="0"/>
          <w:lang w:eastAsia="fr-FR"/>
        </w:rPr>
        <w:t>À lire attentivement et à respecter scrupuleusement pour le bien-être de tous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I – ACCEPTATION DU RÈGLEMENT ET COMPORTEMENT GÉNÉRAL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Tout usager ou visiteur entrant dans l’enceinte de l’écurie accepte automatiquement le présent règlement dans son intégralité.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valeurs de courtoisie, de respect mutuel et de bienveillance sont essentielles pour garantir un environnement serein pour tous : chevaux, cavaliers, personnel et accompagnants.</w:t>
      </w:r>
    </w:p>
    <w:p w:rsidR="000A2774" w:rsidRPr="00360876" w:rsidRDefault="000A2774" w:rsidP="0036087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Tout manquement peut entraîner des sanctions allant du simple avertissement à l’exclusion temporaire ou définitive, avec ou sans restitution de droit d’entrée.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Il est demandé à chacun de faire preuve de respect envers les chevaux, le matériel, les infrastructures et les personnes.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II – ADHÉSION, LICENCE ET ASSURANCE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L’adhésion au club est obligatoire pour toute personne souhaitant pratiquer ou accéder aux installations, et doit être renouvelée chaque année.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Une licence fédérale en cours de validité est exigée pour pouvoir être couvert par l’assurance liée à l’activité équestre.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En cas de licence extérieure, une copie doit être fournie.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 renouvellement de la licence doit impérativement être effectué avant le 31 décembre pour garantir une continuité de couverture.</w:t>
      </w:r>
    </w:p>
    <w:p w:rsidR="000A2774" w:rsidRPr="00360876" w:rsidRDefault="000A2774" w:rsidP="0036087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enfants mineurs ne sont sous la responsabilité du centre que pendant leur créneau d'activité encadrée, y compris la demi-heure précédant et suivant la reprise. En dehors de ces horaires, la responsabilité incombe aux parents ou tuteurs légaux.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III – ACCÈS ET HORAIRES</w:t>
      </w:r>
    </w:p>
    <w:p w:rsidR="000A2774" w:rsidRPr="003E39BE" w:rsidRDefault="000A2774" w:rsidP="000A2774">
      <w:pPr>
        <w:spacing w:before="100" w:beforeAutospacing="1" w:after="100" w:afterAutospacing="1"/>
        <w:outlineLvl w:val="3"/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Bureau d’accueil :</w:t>
      </w:r>
    </w:p>
    <w:p w:rsidR="000A2774" w:rsidRPr="003E39BE" w:rsidRDefault="000A2774" w:rsidP="000A277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Mardi &amp; Vendredi : 9h00 – 13h00</w:t>
      </w:r>
    </w:p>
    <w:p w:rsidR="000A2774" w:rsidRPr="003E39BE" w:rsidRDefault="000A2774" w:rsidP="000A2774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Accueil numérique du lundi au samedi : harasdeciteaux@gmail.com ou via le formulaire de contact du site.</w:t>
      </w:r>
    </w:p>
    <w:p w:rsidR="000A2774" w:rsidRPr="003E39BE" w:rsidRDefault="000A2774" w:rsidP="000A2774">
      <w:pPr>
        <w:spacing w:before="100" w:beforeAutospacing="1" w:after="100" w:afterAutospacing="1"/>
        <w:outlineLvl w:val="3"/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Horaires d’accès aux écuries</w:t>
      </w:r>
      <w:r w:rsidR="00044EEF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 avec éclairage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:</w:t>
      </w:r>
    </w:p>
    <w:p w:rsidR="00557EBA" w:rsidRDefault="000A2774" w:rsidP="000A277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Lundi &amp; Samedi : </w:t>
      </w:r>
      <w:r w:rsidR="00557EBA"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   8h00 – 20h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30   Fermeture éclairage général à 20h45</w:t>
      </w:r>
    </w:p>
    <w:p w:rsidR="000A2774" w:rsidRPr="00557EBA" w:rsidRDefault="000A2774" w:rsidP="000A277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Mardi </w:t>
      </w:r>
      <w:r w:rsidR="00557EBA"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à Vendredi</w:t>
      </w:r>
      <w:r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: </w:t>
      </w:r>
      <w:r w:rsidR="00557EBA"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 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8h00 – 20</w:t>
      </w:r>
      <w:r w:rsidRP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h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45   Fermeture éclairage général à 21h </w:t>
      </w:r>
    </w:p>
    <w:p w:rsidR="000A2774" w:rsidRPr="003E39BE" w:rsidRDefault="000A2774" w:rsidP="000A2774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Dimanche :</w:t>
      </w:r>
      <w:r w:rsid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          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 </w:t>
      </w:r>
      <w:r w:rsidR="00557EBA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8h00 – 19h00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  Fermeture éclairage général à 19h </w:t>
      </w:r>
    </w:p>
    <w:p w:rsidR="000A2774" w:rsidRPr="00360876" w:rsidRDefault="00044EEF" w:rsidP="0036087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L’accès n’est pas autorisé en dehors de ces heures </w:t>
      </w:r>
      <w:r w:rsidR="000A2774"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sans autorisation préalable.</w:t>
      </w:r>
      <w:r w:rsidR="000A2774"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Un curage est eff</w:t>
      </w:r>
      <w:r>
        <w:rPr>
          <w:rFonts w:asciiTheme="majorHAnsi" w:eastAsia="Times New Roman" w:hAnsiTheme="majorHAnsi" w:cstheme="majorHAnsi"/>
          <w:color w:val="000000"/>
          <w:kern w:val="0"/>
          <w:lang w:eastAsia="fr-FR"/>
        </w:rPr>
        <w:t>ectué un lundi sur deux, entre 8h00 et 12h</w:t>
      </w:r>
      <w:r w:rsidR="000A2774"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 L’accès aux installations est alors à éviter pour votre sécurité.</w:t>
      </w:r>
    </w:p>
    <w:p w:rsidR="000A2774" w:rsidRPr="00360876" w:rsidRDefault="000A2774" w:rsidP="00360876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IV – PARKING ET CIRCULATION</w:t>
      </w:r>
      <w:r w:rsidR="00360876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 xml:space="preserve"> 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Un parking est mis à la disposition des usagers.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Il est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interdit de circuler en voiture, à vélo, en trottinette ou avec tout engin motorisé ou roulant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dans l’enceinte du club, sauf en cas d’urgence ou autorisation expresse.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V – ANIMAUX DOMESTIQUES</w:t>
      </w:r>
    </w:p>
    <w:p w:rsidR="000A2774" w:rsidRPr="00360876" w:rsidRDefault="000A2774" w:rsidP="0036087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lastRenderedPageBreak/>
        <w:t>Les chiens sont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tolérés uniquement s’ils sont tenus en laisse en permanence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dès l’entrée sur le site.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Ils sont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interdits à proximité directe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 des carrières, manèges et paddocks, </w:t>
      </w:r>
      <w:r w:rsidRPr="00044EEF">
        <w:rPr>
          <w:rFonts w:asciiTheme="majorHAnsi" w:eastAsia="Times New Roman" w:hAnsiTheme="majorHAnsi" w:cstheme="majorHAnsi"/>
          <w:b/>
          <w:color w:val="000000"/>
          <w:kern w:val="0"/>
          <w:u w:val="single"/>
          <w:lang w:eastAsia="fr-FR"/>
        </w:rPr>
        <w:t>même attachés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déjections doivent être ramassées immédiatement par leur propriétaire.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Tout incident ou non-respect pourra entraîner l’exclusion de l’animal.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VI – TENUE ET ÉQUIPEMENT DU CAVALIER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 port d’un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casque homologué à trois points conforme à la norme NF EN 1384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est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obligatoire à cheval et à poney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Des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chaussures fermées avec talon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(bottes ou boots + mini-</w:t>
      </w:r>
      <w:proofErr w:type="spellStart"/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chaps</w:t>
      </w:r>
      <w:proofErr w:type="spellEnd"/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) sont fortement recommandées.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cavaliers doivent porter une tenue adaptée : les tongs, vêtements flottants ou inadaptés sont interdits.</w:t>
      </w:r>
    </w:p>
    <w:p w:rsidR="003E39BE" w:rsidRPr="00360876" w:rsidRDefault="000A2774" w:rsidP="00360876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À partir du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Galop 4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les cavaliers doivent posséder leurs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propres protections de membres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Toute personne souhaitant utiliser son propre matériel (selle, filet, etc.) doit également avoir ses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propres étrivières, </w:t>
      </w:r>
      <w:r w:rsidR="002965E7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étriers,</w:t>
      </w:r>
      <w:r w:rsidR="00360876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 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sangle et mors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 Le matériel du club est strictem</w:t>
      </w:r>
      <w:r w:rsidR="00360876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ent réservé aux chevaux de club et est </w:t>
      </w:r>
      <w:r w:rsidR="00360876" w:rsidRPr="002965E7">
        <w:rPr>
          <w:rFonts w:asciiTheme="majorHAnsi" w:eastAsia="Times New Roman" w:hAnsiTheme="majorHAnsi" w:cstheme="majorHAnsi"/>
          <w:b/>
          <w:color w:val="FF0000"/>
          <w:kern w:val="0"/>
          <w:lang w:eastAsia="fr-FR"/>
        </w:rPr>
        <w:t>INDEMONTABLE.</w:t>
      </w:r>
      <w:r w:rsidR="00360876">
        <w:rPr>
          <w:rFonts w:asciiTheme="majorHAnsi" w:eastAsia="Times New Roman" w:hAnsiTheme="majorHAnsi" w:cstheme="majorHAnsi"/>
          <w:b/>
          <w:color w:val="FF0000"/>
          <w:kern w:val="0"/>
          <w:lang w:eastAsia="fr-FR"/>
        </w:rPr>
        <w:t xml:space="preserve"> 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VII – UTILISATION DES INSTALLATIONS</w:t>
      </w:r>
    </w:p>
    <w:p w:rsidR="000A2774" w:rsidRPr="003E39BE" w:rsidRDefault="000A6F37" w:rsidP="000A2774">
      <w:pPr>
        <w:spacing w:before="100" w:beforeAutospacing="1" w:after="100" w:afterAutospacing="1"/>
        <w:outlineLvl w:val="3"/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</w:pPr>
      <w:r w:rsidRPr="003E39BE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fr-FR"/>
        </w:rPr>
        <w:t>💩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 </w:t>
      </w:r>
      <w:r w:rsidR="000A2774"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Accès et priorités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Avant d’entrer dans un manège, une carrière ou une aire sablée, il est obligatoire de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demander l’autorisation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à l’enseignant ou, à défaut, aux personnes déjà présentes.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cours organisés par le club ont toujours la priorité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sur toute autre activité.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longes sont interdites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pendant un cours et doivent être réalisées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dans le petit manège ou le rond de longe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Il est interdit de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sauter sans encadrement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pour des raisons évidentes de sécurité.</w:t>
      </w:r>
    </w:p>
    <w:p w:rsidR="000A2774" w:rsidRPr="003E39BE" w:rsidRDefault="000A2774" w:rsidP="000A2774">
      <w:pPr>
        <w:spacing w:before="100" w:beforeAutospacing="1" w:after="100" w:afterAutospacing="1"/>
        <w:outlineLvl w:val="3"/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</w:pPr>
      <w:r w:rsidRPr="003E39BE">
        <w:rPr>
          <w:rFonts w:ascii="Apple Color Emoji" w:eastAsia="Times New Roman" w:hAnsi="Apple Color Emoji" w:cs="Apple Color Emoji"/>
          <w:b/>
          <w:bCs/>
          <w:color w:val="000000"/>
          <w:kern w:val="0"/>
          <w:lang w:eastAsia="fr-FR"/>
        </w:rPr>
        <w:t>💩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 Propreté</w:t>
      </w:r>
    </w:p>
    <w:p w:rsidR="000A2774" w:rsidRPr="003E39BE" w:rsidRDefault="000A2774" w:rsidP="000A277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 crottin doit être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ramassé immédiatement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après utilisation des carrières, manèges, ou allées.</w:t>
      </w:r>
    </w:p>
    <w:p w:rsidR="000A2774" w:rsidRPr="003E39BE" w:rsidRDefault="000A2774" w:rsidP="000A277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poils après tonte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doivent être ramassés et mis à la poubelle.</w:t>
      </w:r>
    </w:p>
    <w:p w:rsidR="000A2774" w:rsidRPr="002965E7" w:rsidRDefault="000A2774" w:rsidP="000A2774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Les lumières des installations doivent être </w:t>
      </w:r>
      <w:proofErr w:type="gramStart"/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éteintes</w:t>
      </w:r>
      <w:proofErr w:type="gramEnd"/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dès la fin de leur utilisation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et non après les soins.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VIII – MATÉRIEL ET ENTRETIEN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Chaque cheval dispose d’un matériel adapté et attribué, à ne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pas modifier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 xml:space="preserve">En cas d’utilisation sur deux créneaux consécutifs, </w:t>
      </w:r>
      <w:r w:rsidRPr="007B22FB">
        <w:rPr>
          <w:rFonts w:asciiTheme="majorHAnsi" w:eastAsia="Times New Roman" w:hAnsiTheme="majorHAnsi" w:cstheme="majorHAnsi"/>
          <w:b/>
          <w:color w:val="FF0000"/>
          <w:kern w:val="0"/>
          <w:u w:val="single"/>
          <w:lang w:eastAsia="fr-FR"/>
        </w:rPr>
        <w:t>le matériel n</w:t>
      </w:r>
      <w:r w:rsidR="007B22FB" w:rsidRPr="007B22FB">
        <w:rPr>
          <w:rFonts w:asciiTheme="majorHAnsi" w:eastAsia="Times New Roman" w:hAnsiTheme="majorHAnsi" w:cstheme="majorHAnsi"/>
          <w:b/>
          <w:color w:val="FF0000"/>
          <w:kern w:val="0"/>
          <w:u w:val="single"/>
          <w:lang w:eastAsia="fr-FR"/>
        </w:rPr>
        <w:t>e doit pas être changé entre</w:t>
      </w:r>
      <w:r w:rsidRPr="007B22FB">
        <w:rPr>
          <w:rFonts w:asciiTheme="majorHAnsi" w:eastAsia="Times New Roman" w:hAnsiTheme="majorHAnsi" w:cstheme="majorHAnsi"/>
          <w:b/>
          <w:color w:val="FF0000"/>
          <w:kern w:val="0"/>
          <w:u w:val="single"/>
          <w:lang w:eastAsia="fr-FR"/>
        </w:rPr>
        <w:t xml:space="preserve"> deu</w:t>
      </w:r>
      <w:r w:rsidR="007B22FB" w:rsidRPr="007B22FB">
        <w:rPr>
          <w:rFonts w:asciiTheme="majorHAnsi" w:eastAsia="Times New Roman" w:hAnsiTheme="majorHAnsi" w:cstheme="majorHAnsi"/>
          <w:b/>
          <w:color w:val="FF0000"/>
          <w:kern w:val="0"/>
          <w:u w:val="single"/>
          <w:lang w:eastAsia="fr-FR"/>
        </w:rPr>
        <w:t>x cours</w:t>
      </w:r>
      <w:r w:rsidR="007B22FB" w:rsidRPr="007B22FB">
        <w:rPr>
          <w:rFonts w:asciiTheme="majorHAnsi" w:eastAsia="Times New Roman" w:hAnsiTheme="majorHAnsi" w:cstheme="majorHAnsi"/>
          <w:b/>
          <w:kern w:val="0"/>
          <w:u w:val="single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 matériel du club doit être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nettoyé et rangé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après chaque usage :</w:t>
      </w:r>
    </w:p>
    <w:p w:rsidR="000A2774" w:rsidRPr="003E39BE" w:rsidRDefault="000A2774" w:rsidP="000A277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mors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doivent être lavés et brossés.</w:t>
      </w:r>
    </w:p>
    <w:p w:rsidR="000A2774" w:rsidRPr="003E39BE" w:rsidRDefault="000A2774" w:rsidP="000A2774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selles, tapis, filets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doivent être remis à leur place.</w:t>
      </w:r>
    </w:p>
    <w:p w:rsidR="000A2774" w:rsidRPr="002965E7" w:rsidRDefault="000A277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Du matériel (brosses, graisse, casques, etc.) est mis à disposition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pour les chevaux de club uniquement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Merci d’en prendre soin et de le ranger dans les locaux prévus.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Tout matériel cassé ou perdu doit être signalé à l’équipe sans délai.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IX – DISCIPLINE ET SÉCURITÉ</w:t>
      </w:r>
    </w:p>
    <w:p w:rsidR="002965E7" w:rsidRDefault="000A277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 respect des chevaux passe par le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pansage avant et après la séance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l’observation de leur état général, et le signalement immédiat de toute blessure.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Chaque cavalier est responsable de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la propreté des lieux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utilisés (douche, box</w:t>
      </w:r>
      <w:r w:rsidR="007B22FB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, pansage, etc.)</w:t>
      </w:r>
    </w:p>
    <w:p w:rsidR="007B22FB" w:rsidRDefault="000A277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 – LEÇONS, STAGES ET PRÉSENCE DES MINEURS</w:t>
      </w:r>
    </w:p>
    <w:p w:rsidR="004D6A14" w:rsidRDefault="004D6A1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</w:p>
    <w:p w:rsidR="004D6A14" w:rsidRDefault="004D6A1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</w:p>
    <w:p w:rsidR="000A2774" w:rsidRPr="002965E7" w:rsidRDefault="000A2774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cavaliers doivent se présenter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30 minutes avant leur reprise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pour panser, seller et préparer leur monture.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leçons ou activités non annulées au moins 24h à l’avance restent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facturées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En dehors des horaires des reprises ou activités encadrées, les mineurs sont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sous la responsabilité exclusive de leurs parents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XI – INTERDICTIONS FORMELLES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Sont strictement interdits :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Monter à cheval sans autorisation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Modifier le matériel d’un cheval de club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Fumer dans toutes les installations (seule la cigarette électronique est tolérée)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Laisser des enfants sans surveillance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Circuler à vélo, trottinette ou autre dans l’enceinte</w:t>
      </w:r>
    </w:p>
    <w:p w:rsidR="000A2774" w:rsidRPr="003E39BE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Sauter sans encadrement</w:t>
      </w:r>
    </w:p>
    <w:p w:rsidR="000A2774" w:rsidRPr="002965E7" w:rsidRDefault="000A2774" w:rsidP="000A2774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Longer un cheval dans une aire sablée 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déjà 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occupée</w:t>
      </w:r>
    </w:p>
    <w:p w:rsidR="000A2774" w:rsidRPr="003E39BE" w:rsidRDefault="000A2774" w:rsidP="000A2774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XII – COMMUNICATION AVEC LE CLUB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Si Alex ne répond pas au téléphone, c’est probablement parce qu’il est :</w:t>
      </w:r>
    </w:p>
    <w:p w:rsidR="000A2774" w:rsidRPr="003E39BE" w:rsidRDefault="000A2774" w:rsidP="000A2774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À cheval sur un mustang un peu trop fougueux,</w:t>
      </w:r>
    </w:p>
    <w:p w:rsidR="000A2774" w:rsidRPr="003E39BE" w:rsidRDefault="000A2774" w:rsidP="000A2774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Dans le tracteur,</w:t>
      </w:r>
    </w:p>
    <w:p w:rsidR="000A2774" w:rsidRPr="003E39BE" w:rsidRDefault="000A2774" w:rsidP="000A2774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Ou au volant du camion des chevaux… voire les trois à la fois.</w:t>
      </w:r>
    </w:p>
    <w:p w:rsidR="000A2774" w:rsidRPr="003E39BE" w:rsidRDefault="000A2774" w:rsidP="000A2774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="Apple Color Emoji" w:eastAsia="Times New Roman" w:hAnsi="Apple Color Emoji" w:cs="Apple Color Emoji"/>
          <w:color w:val="000000"/>
          <w:kern w:val="0"/>
          <w:lang w:eastAsia="fr-FR"/>
        </w:rPr>
        <w:t>💬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En revanche,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les SMS sont traités rapidement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N’hésitez pas à utiliser la rubrique "Une question ?" sur le site ou à envoyer un e-mail. C’est souvent plus efficace !</w:t>
      </w:r>
    </w:p>
    <w:p w:rsidR="000A2774" w:rsidRPr="00EC0A11" w:rsidRDefault="003A79FF" w:rsidP="00EC0A11">
      <w:pPr>
        <w:rPr>
          <w:rFonts w:asciiTheme="majorHAnsi" w:eastAsia="Times New Roman" w:hAnsiTheme="majorHAnsi" w:cstheme="majorHAnsi"/>
          <w:kern w:val="0"/>
          <w:lang w:eastAsia="fr-FR"/>
        </w:rPr>
      </w:pPr>
      <w:r w:rsidRPr="003A79FF">
        <w:rPr>
          <w:rFonts w:asciiTheme="majorHAnsi" w:eastAsia="Times New Roman" w:hAnsiTheme="majorHAnsi" w:cstheme="majorHAnsi"/>
          <w:noProof/>
          <w:kern w:val="0"/>
          <w:lang w:eastAsia="fr-FR"/>
        </w:rPr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  <w:r w:rsidR="00EC0A11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Merci à chacun pour vo</w:t>
      </w:r>
      <w:r w:rsidR="000A2774"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tre respect des règles, votre attention envers les chevaux, et votre engagement pour faire vivre l’Écurie du Petit Bonheur dans la convivialité, la sécurité et le respect mutuel.</w:t>
      </w:r>
      <w:r w:rsidR="000A2774"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C’est grâce à vous que ce lieu reste un espace de partage, d’apprentissage et de passion.</w:t>
      </w:r>
    </w:p>
    <w:p w:rsidR="000A2774" w:rsidRPr="003E39BE" w:rsidRDefault="003A79FF" w:rsidP="000A2774">
      <w:pPr>
        <w:rPr>
          <w:rFonts w:asciiTheme="majorHAnsi" w:eastAsia="Times New Roman" w:hAnsiTheme="majorHAnsi" w:cstheme="majorHAnsi"/>
          <w:kern w:val="0"/>
          <w:lang w:eastAsia="fr-FR"/>
        </w:rPr>
      </w:pPr>
      <w:r w:rsidRPr="003A79FF">
        <w:rPr>
          <w:rFonts w:asciiTheme="majorHAnsi" w:eastAsia="Times New Roman" w:hAnsiTheme="majorHAnsi" w:cstheme="majorHAnsi"/>
          <w:noProof/>
          <w:kern w:val="0"/>
          <w:lang w:eastAsia="fr-FR"/>
        </w:rPr>
        <w:pict>
          <v:rect id="_x0000_i1026" alt="" style="width:453.6pt;height:.05pt;mso-width-percent:0;mso-height-percent:0;mso-width-percent:0;mso-height-percent:0" o:hralign="center" o:hrstd="t" o:hrnoshade="t" o:hr="t" fillcolor="black" stroked="f"/>
        </w:pic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XIII – AUTORITÉ ET DIRECTION</w:t>
      </w:r>
    </w:p>
    <w:p w:rsidR="003E39BE" w:rsidRPr="003E39BE" w:rsidRDefault="003E39BE" w:rsidP="003E39B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L’ensemble des activités, installations et du personnel (enseignants, soigneurs, palefreniers) est placé sous l’autorité de la direction.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enseignants sont les seuls habilités à intervenir pendant les cours.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accompagnateurs, parents ou visiteurs ne peuvent en aucun cas interrompre ou intervenir dans le déroulement d’une leçon.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En cas de non-respect, la direction pourra demander aux personnes concernées de s’éloigner.</w:t>
      </w:r>
    </w:p>
    <w:p w:rsidR="003E39BE" w:rsidRPr="003E39BE" w:rsidRDefault="003A79FF" w:rsidP="003E39BE">
      <w:pPr>
        <w:rPr>
          <w:rFonts w:asciiTheme="majorHAnsi" w:eastAsia="Times New Roman" w:hAnsiTheme="majorHAnsi" w:cstheme="majorHAnsi"/>
          <w:kern w:val="0"/>
          <w:lang w:eastAsia="fr-FR"/>
        </w:rPr>
      </w:pPr>
      <w:r w:rsidRPr="003A79FF">
        <w:rPr>
          <w:rFonts w:asciiTheme="majorHAnsi" w:eastAsia="Times New Roman" w:hAnsiTheme="majorHAnsi" w:cstheme="majorHAnsi"/>
          <w:noProof/>
          <w:kern w:val="0"/>
          <w:lang w:eastAsia="fr-FR"/>
        </w:rPr>
        <w:pict>
          <v:rect id="_x0000_i1027" alt="" style="width:453.6pt;height:.05pt;mso-width-percent:0;mso-height-percent:0;mso-width-percent:0;mso-height-percent:0" o:hralign="center" o:hrstd="t" o:hrnoshade="t" o:hr="t" fillcolor="black" stroked="f"/>
        </w:pic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XIV – RESPECT ET INTERDICTIONS SUPPLÉMENTAIRES</w:t>
      </w:r>
    </w:p>
    <w:p w:rsidR="003E39BE" w:rsidRPr="003E39BE" w:rsidRDefault="003E39BE" w:rsidP="00044EEF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Sont également strictement interdits :</w:t>
      </w:r>
    </w:p>
    <w:p w:rsidR="003E39BE" w:rsidRPr="003E39BE" w:rsidRDefault="003E39BE" w:rsidP="003E39BE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Courir, crier ou jouer à proximité des chevaux.</w:t>
      </w:r>
    </w:p>
    <w:p w:rsidR="003E39BE" w:rsidRPr="003E39BE" w:rsidRDefault="003E39BE" w:rsidP="003E39BE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Jouer au ballon, dans le foin, avec le matériel (tracteur, brouette, extincteur, robinets d’eau, etc.).</w:t>
      </w:r>
    </w:p>
    <w:p w:rsidR="003E39BE" w:rsidRPr="00EC0A11" w:rsidRDefault="003E39BE" w:rsidP="003E39BE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b/>
          <w:color w:val="FF0000"/>
          <w:kern w:val="0"/>
          <w:lang w:eastAsia="fr-FR"/>
        </w:rPr>
      </w:pPr>
      <w:r w:rsidRPr="00EC0A11">
        <w:rPr>
          <w:rFonts w:asciiTheme="majorHAnsi" w:eastAsia="Times New Roman" w:hAnsiTheme="majorHAnsi" w:cstheme="majorHAnsi"/>
          <w:b/>
          <w:color w:val="FF0000"/>
          <w:kern w:val="0"/>
          <w:lang w:eastAsia="fr-FR"/>
        </w:rPr>
        <w:t>Sortir ou déplacer les obstacles sans accord d’un enseignant.</w:t>
      </w:r>
    </w:p>
    <w:p w:rsidR="003E39BE" w:rsidRPr="003E39BE" w:rsidRDefault="003E39BE" w:rsidP="003E39BE">
      <w:pPr>
        <w:numPr>
          <w:ilvl w:val="0"/>
          <w:numId w:val="7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Pénétrer dans la carrière ou le manège en cou</w:t>
      </w:r>
      <w:r w:rsidR="00044EEF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rs de séance sans autorisation.</w:t>
      </w:r>
    </w:p>
    <w:p w:rsidR="004D6A14" w:rsidRPr="004D6A14" w:rsidRDefault="003A79FF" w:rsidP="004D6A14">
      <w:pPr>
        <w:rPr>
          <w:rFonts w:asciiTheme="majorHAnsi" w:eastAsia="Times New Roman" w:hAnsiTheme="majorHAnsi" w:cstheme="majorHAnsi"/>
          <w:kern w:val="0"/>
          <w:lang w:eastAsia="fr-FR"/>
        </w:rPr>
      </w:pPr>
      <w:r w:rsidRPr="003A79FF">
        <w:rPr>
          <w:rFonts w:asciiTheme="majorHAnsi" w:eastAsia="Times New Roman" w:hAnsiTheme="majorHAnsi" w:cstheme="majorHAnsi"/>
          <w:noProof/>
          <w:kern w:val="0"/>
          <w:lang w:eastAsia="fr-FR"/>
        </w:rPr>
        <w:lastRenderedPageBreak/>
        <w:pict>
          <v:rect id="_x0000_i1028" alt="" style="width:453.6pt;height:.05pt;mso-width-percent:0;mso-height-percent:0;mso-width-percent:0;mso-height-percent:0" o:hralign="center" o:hrstd="t" o:hrnoshade="t" o:hr="t" fillcolor="black" stroked="f"/>
        </w:pic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XV – ACCÈS AUX LOCAUX ET AUX INSTALLATIONS</w:t>
      </w:r>
    </w:p>
    <w:p w:rsidR="003E39BE" w:rsidRPr="002965E7" w:rsidRDefault="003E39BE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locaux techniques (stockage de foin, paille, copeaux, aliments, sellerie du personnel, tracteur, camion) sont strictement interdits au public.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Les tribunes et abords des carrières et manèges doivent rester calmes et silencieux afin de ne pas perturber le travail des chevaux et le déroulement des cours.</w: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XVI – CASIERS ET AFFAIRES PERSONNELLES</w:t>
      </w:r>
    </w:p>
    <w:p w:rsidR="003E39BE" w:rsidRPr="002965E7" w:rsidRDefault="003E39BE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Des casiers peuvent être mis à disposition ou loués pour le rangement des affaires personnelles.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Chaque cavalier est responsable de son casier et de sa clé.</w: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XVII – TENUE RENFORCÉE</w:t>
      </w:r>
    </w:p>
    <w:p w:rsidR="003E39BE" w:rsidRPr="003E39BE" w:rsidRDefault="003E39BE" w:rsidP="003E39B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En plus des obligations déjà mentionnées :</w:t>
      </w:r>
    </w:p>
    <w:p w:rsidR="003E39BE" w:rsidRPr="003E39BE" w:rsidRDefault="003E39BE" w:rsidP="003E39BE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 port d’un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protège-dos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est obligatoire en cross, et fortement recommandé aux mineurs en saut d’obstacles et sorties en extérieur.</w:t>
      </w:r>
    </w:p>
    <w:p w:rsidR="003E39BE" w:rsidRPr="00722883" w:rsidRDefault="003E39BE" w:rsidP="00722883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 port d’un </w:t>
      </w:r>
      <w:r w:rsidR="00722883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 xml:space="preserve">air bag </w:t>
      </w:r>
      <w:r w:rsidR="00722883" w:rsidRP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>est à réfléchir par les parents, c’est</w:t>
      </w:r>
      <w:r w:rsid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 xml:space="preserve"> un</w:t>
      </w:r>
      <w:r w:rsidR="00722883" w:rsidRP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 xml:space="preserve"> accessoire coûteux qui n’est pas forcément utile dan</w:t>
      </w:r>
      <w:r w:rsid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 xml:space="preserve">s les cours sans orientation en </w:t>
      </w:r>
      <w:r w:rsidR="00722883" w:rsidRP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 xml:space="preserve">compétition. </w:t>
      </w:r>
      <w:r w:rsidR="00722883">
        <w:rPr>
          <w:rFonts w:asciiTheme="majorHAnsi" w:eastAsia="Times New Roman" w:hAnsiTheme="majorHAnsi" w:cstheme="majorHAnsi"/>
          <w:bCs/>
          <w:color w:val="000000"/>
          <w:kern w:val="0"/>
          <w:lang w:eastAsia="fr-FR"/>
        </w:rPr>
        <w:t>En cas d’achat prévoir l’ai bag HORSE PILOT qui est électronique sans sangle d’attache car on ne modifie pas le matériel d’école.</w: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XVIII – PROPRIÉTAIRES ET CHEVAUX EN PENSION</w:t>
      </w:r>
    </w:p>
    <w:p w:rsidR="003E39BE" w:rsidRPr="003E39BE" w:rsidRDefault="003E39BE" w:rsidP="003E39B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Un contrat de pension fixe les conditions et tarifs d’hébergement des chevaux.</w:t>
      </w:r>
    </w:p>
    <w:p w:rsidR="003E39BE" w:rsidRPr="003E39BE" w:rsidRDefault="003E39BE" w:rsidP="003E39BE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frais vétérinaires, de maréchalerie et de soins spécifiques restent à la charge des propriétaires.</w:t>
      </w:r>
    </w:p>
    <w:p w:rsidR="003E39BE" w:rsidRPr="003E39BE" w:rsidRDefault="003E39BE" w:rsidP="003E39BE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chevaux en pension ne peuvent être montés que par leur propriétaire, sauf autorisation préalable.</w:t>
      </w:r>
    </w:p>
    <w:p w:rsidR="003E39BE" w:rsidRPr="003E39BE" w:rsidRDefault="003E39BE" w:rsidP="003E39BE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La priorité d’accès aux installations revient aux cours club</w:t>
      </w:r>
      <w:r w:rsidR="00722883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mais les pensionnaires peuvent monter en même temps  qu’un cours s’ils respectent la sécurité de pratique.</w:t>
      </w:r>
    </w:p>
    <w:p w:rsidR="003E39BE" w:rsidRPr="00EC0A11" w:rsidRDefault="003E39BE" w:rsidP="003E39BE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722883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Les paddocks et prés doivent être utilisés selon les consignes de l’écurie Les propriétaires doivent nettoyer la douche et les abords du box</w:t>
      </w:r>
      <w:r w:rsidR="00722883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e</w:t>
      </w:r>
      <w:r w:rsidRPr="00722883">
        <w:rPr>
          <w:rFonts w:asciiTheme="majorHAnsi" w:eastAsia="Times New Roman" w:hAnsiTheme="majorHAnsi" w:cstheme="majorHAnsi"/>
          <w:color w:val="000000"/>
          <w:kern w:val="0"/>
          <w:lang w:eastAsia="fr-FR"/>
        </w:rPr>
        <w:t xml:space="preserve"> après usage.</w: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XIX – ASSURANCE ET RESPONSABILITÉ</w:t>
      </w:r>
    </w:p>
    <w:p w:rsidR="003E39BE" w:rsidRPr="002965E7" w:rsidRDefault="003E39BE" w:rsidP="002965E7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Chaque propriétaire doit souscrire une </w:t>
      </w: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lang w:eastAsia="fr-FR"/>
        </w:rPr>
        <w:t>assurance Responsabilité Civile spécifique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 en qualité de gardien de cheval.</w:t>
      </w: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br/>
        <w:t>Tout cavalier utilisant les installations en dehors d’une reprise encadrée agit sous sa propre responsabilité.</w:t>
      </w:r>
    </w:p>
    <w:p w:rsidR="003E39BE" w:rsidRPr="003E39BE" w:rsidRDefault="003E39BE" w:rsidP="003E39BE">
      <w:p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</w:pPr>
      <w:r w:rsidRPr="003E39BE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fr-FR"/>
        </w:rPr>
        <w:t>ARTICLE XX – RÉCLAMATIONS</w:t>
      </w:r>
    </w:p>
    <w:p w:rsidR="003E39BE" w:rsidRPr="003E39BE" w:rsidRDefault="003E39BE" w:rsidP="003E39BE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Toute réclamation doit être adressée directement à la direction :</w:t>
      </w:r>
    </w:p>
    <w:p w:rsidR="003E39BE" w:rsidRPr="003E39BE" w:rsidRDefault="003E39BE" w:rsidP="003E39BE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soit par écrit,</w:t>
      </w:r>
    </w:p>
    <w:p w:rsidR="003E39BE" w:rsidRPr="003E39BE" w:rsidRDefault="003E39BE" w:rsidP="003E39BE">
      <w:pPr>
        <w:numPr>
          <w:ilvl w:val="0"/>
          <w:numId w:val="12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kern w:val="0"/>
          <w:lang w:eastAsia="fr-FR"/>
        </w:rPr>
      </w:pPr>
      <w:r w:rsidRPr="003E39BE">
        <w:rPr>
          <w:rFonts w:asciiTheme="majorHAnsi" w:eastAsia="Times New Roman" w:hAnsiTheme="majorHAnsi" w:cstheme="majorHAnsi"/>
          <w:color w:val="000000"/>
          <w:kern w:val="0"/>
          <w:lang w:eastAsia="fr-FR"/>
        </w:rPr>
        <w:t>soit en prenant rendez-vous.</w:t>
      </w:r>
    </w:p>
    <w:p w:rsidR="003E39BE" w:rsidRPr="003E39BE" w:rsidRDefault="003A79FF" w:rsidP="003E39BE">
      <w:pPr>
        <w:rPr>
          <w:rFonts w:asciiTheme="majorHAnsi" w:eastAsia="Times New Roman" w:hAnsiTheme="majorHAnsi" w:cstheme="majorHAnsi"/>
          <w:kern w:val="0"/>
          <w:lang w:eastAsia="fr-FR"/>
        </w:rPr>
      </w:pPr>
      <w:r w:rsidRPr="003A79FF">
        <w:rPr>
          <w:rFonts w:asciiTheme="majorHAnsi" w:eastAsia="Times New Roman" w:hAnsiTheme="majorHAnsi" w:cstheme="majorHAnsi"/>
          <w:noProof/>
          <w:kern w:val="0"/>
          <w:lang w:eastAsia="fr-FR"/>
        </w:rPr>
        <w:pict>
          <v:rect id="_x0000_i1029" alt="" style="width:453.6pt;height:.05pt;mso-width-percent:0;mso-height-percent:0;mso-width-percent:0;mso-height-percent:0" o:hralign="center" o:hrstd="t" o:hrnoshade="t" o:hr="t" fillcolor="black" stroked="f"/>
        </w:pict>
      </w:r>
    </w:p>
    <w:p w:rsidR="002427E1" w:rsidRPr="003E39BE" w:rsidRDefault="002427E1">
      <w:pPr>
        <w:rPr>
          <w:rFonts w:asciiTheme="majorHAnsi" w:hAnsiTheme="majorHAnsi" w:cstheme="majorHAnsi"/>
        </w:rPr>
      </w:pPr>
    </w:p>
    <w:sectPr w:rsidR="002427E1" w:rsidRPr="003E39BE" w:rsidSect="000A6F3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3F"/>
    <w:multiLevelType w:val="multilevel"/>
    <w:tmpl w:val="D0E0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4456"/>
    <w:multiLevelType w:val="multilevel"/>
    <w:tmpl w:val="A71C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E4E30"/>
    <w:multiLevelType w:val="multilevel"/>
    <w:tmpl w:val="8ECC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E62C0"/>
    <w:multiLevelType w:val="multilevel"/>
    <w:tmpl w:val="713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D77F3"/>
    <w:multiLevelType w:val="multilevel"/>
    <w:tmpl w:val="0530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6511A"/>
    <w:multiLevelType w:val="multilevel"/>
    <w:tmpl w:val="1A1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E7063"/>
    <w:multiLevelType w:val="multilevel"/>
    <w:tmpl w:val="B89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0209B"/>
    <w:multiLevelType w:val="multilevel"/>
    <w:tmpl w:val="36B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F499A"/>
    <w:multiLevelType w:val="multilevel"/>
    <w:tmpl w:val="CD1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C1C4F"/>
    <w:multiLevelType w:val="multilevel"/>
    <w:tmpl w:val="8DF6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C0068"/>
    <w:multiLevelType w:val="multilevel"/>
    <w:tmpl w:val="70B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75DFC"/>
    <w:multiLevelType w:val="multilevel"/>
    <w:tmpl w:val="BD1C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A2774"/>
    <w:rsid w:val="00044EEF"/>
    <w:rsid w:val="000A2774"/>
    <w:rsid w:val="000A6F37"/>
    <w:rsid w:val="000E0FC2"/>
    <w:rsid w:val="002427E1"/>
    <w:rsid w:val="002965E7"/>
    <w:rsid w:val="00360876"/>
    <w:rsid w:val="003A79FF"/>
    <w:rsid w:val="003E39BE"/>
    <w:rsid w:val="004A2ADB"/>
    <w:rsid w:val="004D6A14"/>
    <w:rsid w:val="00557EBA"/>
    <w:rsid w:val="00722883"/>
    <w:rsid w:val="007333F6"/>
    <w:rsid w:val="007B22FB"/>
    <w:rsid w:val="00EC0A11"/>
    <w:rsid w:val="00FE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FF"/>
  </w:style>
  <w:style w:type="paragraph" w:styleId="Titre1">
    <w:name w:val="heading 1"/>
    <w:basedOn w:val="Normal"/>
    <w:link w:val="Titre1Car"/>
    <w:uiPriority w:val="9"/>
    <w:qFormat/>
    <w:rsid w:val="000A2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A27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A277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2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277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2774"/>
    <w:rPr>
      <w:rFonts w:ascii="Times New Roman" w:eastAsia="Times New Roman" w:hAnsi="Times New Roman" w:cs="Times New Roman"/>
      <w:b/>
      <w:bCs/>
      <w:kern w:val="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27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  <w:style w:type="character" w:styleId="Accentuation">
    <w:name w:val="Emphasis"/>
    <w:basedOn w:val="Policepardfaut"/>
    <w:uiPriority w:val="20"/>
    <w:qFormat/>
    <w:rsid w:val="000A2774"/>
    <w:rPr>
      <w:i/>
      <w:iCs/>
    </w:rPr>
  </w:style>
  <w:style w:type="character" w:styleId="lev">
    <w:name w:val="Strong"/>
    <w:basedOn w:val="Policepardfaut"/>
    <w:uiPriority w:val="22"/>
    <w:qFormat/>
    <w:rsid w:val="000A2774"/>
    <w:rPr>
      <w:b/>
      <w:bCs/>
    </w:rPr>
  </w:style>
  <w:style w:type="character" w:customStyle="1" w:styleId="apple-converted-space">
    <w:name w:val="apple-converted-space"/>
    <w:basedOn w:val="Policepardfaut"/>
    <w:rsid w:val="000A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Pedron</dc:creator>
  <cp:lastModifiedBy>HARAS DE CITEAUX</cp:lastModifiedBy>
  <cp:revision>3</cp:revision>
  <cp:lastPrinted>2025-09-02T09:56:00Z</cp:lastPrinted>
  <dcterms:created xsi:type="dcterms:W3CDTF">2025-09-02T09:56:00Z</dcterms:created>
  <dcterms:modified xsi:type="dcterms:W3CDTF">2025-09-02T10:07:00Z</dcterms:modified>
</cp:coreProperties>
</file>